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605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pStyle w:val="10"/>
              <w:numPr>
                <w:ilvl w:val="0"/>
                <w:numId w:val="0"/>
              </w:num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b/>
                <w:bCs/>
                <w:sz w:val="24"/>
                <w:szCs w:val="24"/>
                <w:vertAlign w:val="baseline"/>
                <w:lang w:val="en-US" w:eastAsia="zh-CN"/>
              </w:rPr>
              <w:t>设备名称</w:t>
            </w:r>
          </w:p>
        </w:tc>
        <w:tc>
          <w:tcPr>
            <w:tcW w:w="6050" w:type="dxa"/>
            <w:vAlign w:val="center"/>
          </w:tcPr>
          <w:p>
            <w:pPr>
              <w:pStyle w:val="10"/>
              <w:numPr>
                <w:ilvl w:val="0"/>
                <w:numId w:val="0"/>
              </w:numPr>
              <w:jc w:val="center"/>
              <w:rPr>
                <w:rFonts w:hint="eastAsia" w:asciiTheme="minorEastAsia" w:hAnsiTheme="minorEastAsia" w:eastAsiaTheme="minorEastAsia"/>
                <w:b/>
                <w:bCs/>
                <w:sz w:val="24"/>
                <w:szCs w:val="24"/>
                <w:vertAlign w:val="baseline"/>
                <w:lang w:eastAsia="zh-CN"/>
              </w:rPr>
            </w:pPr>
            <w:r>
              <w:rPr>
                <w:rFonts w:hint="eastAsia" w:asciiTheme="minorEastAsia" w:hAnsiTheme="minorEastAsia"/>
                <w:b/>
                <w:bCs/>
                <w:sz w:val="24"/>
                <w:szCs w:val="24"/>
                <w:vertAlign w:val="baseline"/>
                <w:lang w:eastAsia="zh-CN"/>
              </w:rPr>
              <w:t>主要参数</w:t>
            </w:r>
          </w:p>
        </w:tc>
        <w:tc>
          <w:tcPr>
            <w:tcW w:w="1217" w:type="dxa"/>
            <w:vAlign w:val="center"/>
          </w:tcPr>
          <w:p>
            <w:pPr>
              <w:pStyle w:val="10"/>
              <w:numPr>
                <w:ilvl w:val="0"/>
                <w:numId w:val="0"/>
              </w:numPr>
              <w:jc w:val="center"/>
              <w:rPr>
                <w:rFonts w:hint="eastAsia" w:asciiTheme="minorEastAsia" w:hAnsiTheme="minorEastAsia" w:eastAsiaTheme="minorEastAsia"/>
                <w:b/>
                <w:bCs/>
                <w:sz w:val="24"/>
                <w:szCs w:val="24"/>
                <w:vertAlign w:val="baseline"/>
                <w:lang w:eastAsia="zh-CN"/>
              </w:rPr>
            </w:pPr>
            <w:r>
              <w:rPr>
                <w:rFonts w:hint="eastAsia" w:asciiTheme="minorEastAsia" w:hAnsiTheme="minorEastAsia"/>
                <w:b/>
                <w:bCs/>
                <w:sz w:val="24"/>
                <w:szCs w:val="24"/>
                <w:vertAlign w:val="baseline"/>
                <w:lang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8" w:hRule="atLeast"/>
        </w:trPr>
        <w:tc>
          <w:tcPr>
            <w:tcW w:w="1286" w:type="dxa"/>
            <w:vAlign w:val="center"/>
          </w:tcPr>
          <w:p>
            <w:pPr>
              <w:pStyle w:val="10"/>
              <w:numPr>
                <w:ilvl w:val="0"/>
                <w:numId w:val="0"/>
              </w:numPr>
              <w:jc w:val="center"/>
              <w:rPr>
                <w:rFonts w:asciiTheme="minorEastAsia" w:hAnsiTheme="minorEastAsia"/>
                <w:sz w:val="24"/>
                <w:szCs w:val="24"/>
                <w:vertAlign w:val="baseline"/>
              </w:rPr>
            </w:pPr>
            <w:bookmarkStart w:id="0" w:name="_GoBack"/>
            <w:bookmarkEnd w:id="0"/>
            <w:r>
              <w:rPr>
                <w:rFonts w:hint="eastAsia" w:asciiTheme="minorEastAsia" w:hAnsiTheme="minorEastAsia"/>
                <w:sz w:val="24"/>
                <w:szCs w:val="24"/>
                <w:vertAlign w:val="baseline"/>
                <w:lang w:val="en-US" w:eastAsia="zh-CN"/>
              </w:rPr>
              <w:t>微剂量X射线行李检查装置</w:t>
            </w:r>
          </w:p>
        </w:tc>
        <w:tc>
          <w:tcPr>
            <w:tcW w:w="6050" w:type="dxa"/>
            <w:vAlign w:val="center"/>
          </w:tcPr>
          <w:p>
            <w:pPr>
              <w:pStyle w:val="10"/>
              <w:numPr>
                <w:ilvl w:val="0"/>
                <w:numId w:val="1"/>
              </w:numPr>
              <w:ind w:firstLineChars="0"/>
              <w:jc w:val="left"/>
              <w:rPr>
                <w:rStyle w:val="9"/>
                <w:color w:val="auto"/>
                <w:sz w:val="24"/>
                <w:szCs w:val="24"/>
              </w:rPr>
            </w:pPr>
            <w:r>
              <w:rPr>
                <w:rStyle w:val="9"/>
                <w:sz w:val="24"/>
                <w:szCs w:val="24"/>
              </w:rPr>
              <w:t>支持采用不同颜色区分不同物品，配备24寸高清液晶显示</w:t>
            </w:r>
            <w:r>
              <w:rPr>
                <w:rStyle w:val="9"/>
                <w:color w:val="auto"/>
                <w:sz w:val="24"/>
                <w:szCs w:val="24"/>
              </w:rPr>
              <w:t>器</w:t>
            </w:r>
          </w:p>
          <w:p>
            <w:pPr>
              <w:pStyle w:val="10"/>
              <w:numPr>
                <w:ilvl w:val="0"/>
                <w:numId w:val="1"/>
              </w:numPr>
              <w:ind w:firstLineChars="0"/>
              <w:jc w:val="left"/>
              <w:rPr>
                <w:rStyle w:val="9"/>
                <w:color w:val="auto"/>
                <w:sz w:val="24"/>
                <w:szCs w:val="24"/>
              </w:rPr>
            </w:pPr>
            <w:r>
              <w:rPr>
                <w:rStyle w:val="9"/>
                <w:rFonts w:hint="eastAsia"/>
                <w:color w:val="auto"/>
                <w:sz w:val="24"/>
                <w:szCs w:val="24"/>
              </w:rPr>
              <w:t>连续出图：过包途中如出现暂停再运行情况时，应保持图像的完整</w:t>
            </w:r>
          </w:p>
          <w:p>
            <w:pPr>
              <w:pStyle w:val="10"/>
              <w:numPr>
                <w:ilvl w:val="0"/>
                <w:numId w:val="1"/>
              </w:numPr>
              <w:ind w:firstLineChars="0"/>
              <w:jc w:val="left"/>
              <w:rPr>
                <w:rStyle w:val="9"/>
                <w:sz w:val="24"/>
                <w:szCs w:val="24"/>
              </w:rPr>
            </w:pPr>
            <w:r>
              <w:rPr>
                <w:rStyle w:val="9"/>
                <w:rFonts w:hint="eastAsia"/>
                <w:color w:val="auto"/>
                <w:sz w:val="24"/>
                <w:szCs w:val="24"/>
              </w:rPr>
              <w:t>TIP功能及危险品图库：设备应具有至少1500张危险品图库，管理员应能制定危险品插入计划，应能统计</w:t>
            </w:r>
            <w:r>
              <w:rPr>
                <w:rStyle w:val="9"/>
                <w:rFonts w:hint="eastAsia"/>
                <w:sz w:val="24"/>
                <w:szCs w:val="24"/>
              </w:rPr>
              <w:t>安检员的考核情况并生成报表。</w:t>
            </w:r>
          </w:p>
          <w:p>
            <w:pPr>
              <w:pStyle w:val="10"/>
              <w:numPr>
                <w:ilvl w:val="0"/>
                <w:numId w:val="1"/>
              </w:numPr>
              <w:ind w:firstLineChars="0"/>
              <w:jc w:val="left"/>
              <w:rPr>
                <w:rStyle w:val="9"/>
                <w:rFonts w:hint="eastAsia"/>
                <w:sz w:val="24"/>
                <w:szCs w:val="24"/>
              </w:rPr>
            </w:pPr>
            <w:r>
              <w:rPr>
                <w:rStyle w:val="9"/>
                <w:sz w:val="24"/>
                <w:szCs w:val="24"/>
              </w:rPr>
              <w:t>支持图像处理功能：包含伪彩/黑白、超级增强、边缘增强、局部增强、灰度扫描、图像恢复、反向显示、连续放大、局部放大、图像回拉、图像保存（</w:t>
            </w:r>
            <w:r>
              <w:rPr>
                <w:rStyle w:val="9"/>
                <w:b/>
                <w:bCs/>
                <w:sz w:val="24"/>
                <w:szCs w:val="24"/>
              </w:rPr>
              <w:t>大于20万幅</w:t>
            </w:r>
            <w:r>
              <w:rPr>
                <w:rStyle w:val="9"/>
                <w:sz w:val="24"/>
                <w:szCs w:val="24"/>
              </w:rPr>
              <w:t>）等</w:t>
            </w:r>
            <w:r>
              <w:rPr>
                <w:rStyle w:val="9"/>
                <w:rFonts w:hint="eastAsia"/>
                <w:sz w:val="24"/>
                <w:szCs w:val="24"/>
              </w:rPr>
              <w:t>；</w:t>
            </w:r>
          </w:p>
          <w:p>
            <w:pPr>
              <w:pStyle w:val="10"/>
              <w:numPr>
                <w:ilvl w:val="0"/>
                <w:numId w:val="1"/>
              </w:numPr>
              <w:ind w:firstLineChars="0"/>
              <w:jc w:val="left"/>
              <w:rPr>
                <w:rStyle w:val="9"/>
                <w:rFonts w:hint="eastAsia"/>
                <w:sz w:val="24"/>
                <w:szCs w:val="24"/>
              </w:rPr>
            </w:pPr>
            <w:r>
              <w:rPr>
                <w:rStyle w:val="9"/>
                <w:rFonts w:hint="eastAsia"/>
                <w:sz w:val="24"/>
                <w:szCs w:val="24"/>
                <w:lang w:val="en-US" w:eastAsia="zh-CN"/>
              </w:rPr>
              <w:t>单次检查剂量小于1.5μGy；</w:t>
            </w:r>
          </w:p>
          <w:p>
            <w:pPr>
              <w:pStyle w:val="10"/>
              <w:numPr>
                <w:ilvl w:val="0"/>
                <w:numId w:val="1"/>
              </w:numPr>
              <w:ind w:firstLineChars="0"/>
              <w:jc w:val="left"/>
              <w:rPr>
                <w:rStyle w:val="9"/>
                <w:rFonts w:hint="eastAsia"/>
                <w:sz w:val="24"/>
                <w:szCs w:val="24"/>
              </w:rPr>
            </w:pPr>
            <w:r>
              <w:rPr>
                <w:rStyle w:val="9"/>
                <w:rFonts w:hint="eastAsia"/>
                <w:sz w:val="24"/>
                <w:szCs w:val="24"/>
                <w:lang w:val="en-US" w:eastAsia="zh-CN"/>
              </w:rPr>
              <w:t>泄露射线剂量率小于1.0μGy /h（距离外壳5cm处）；</w:t>
            </w:r>
          </w:p>
          <w:p>
            <w:pPr>
              <w:pStyle w:val="10"/>
              <w:numPr>
                <w:ilvl w:val="0"/>
                <w:numId w:val="1"/>
              </w:numPr>
              <w:ind w:firstLineChars="0"/>
              <w:jc w:val="left"/>
              <w:rPr>
                <w:rStyle w:val="9"/>
                <w:sz w:val="24"/>
                <w:szCs w:val="24"/>
              </w:rPr>
            </w:pPr>
            <w:r>
              <w:rPr>
                <w:rStyle w:val="9"/>
                <w:rFonts w:hint="eastAsia"/>
                <w:sz w:val="24"/>
                <w:szCs w:val="24"/>
              </w:rPr>
              <w:t>线分辨力：</w:t>
            </w:r>
            <w:r>
              <w:rPr>
                <w:rStyle w:val="9"/>
                <w:sz w:val="24"/>
                <w:szCs w:val="24"/>
              </w:rPr>
              <w:t>40AWG</w:t>
            </w:r>
            <w:r>
              <w:rPr>
                <w:rStyle w:val="9"/>
                <w:rFonts w:hint="eastAsia"/>
                <w:sz w:val="24"/>
                <w:szCs w:val="24"/>
              </w:rPr>
              <w:t>；</w:t>
            </w:r>
          </w:p>
          <w:p>
            <w:pPr>
              <w:pStyle w:val="10"/>
              <w:numPr>
                <w:ilvl w:val="0"/>
                <w:numId w:val="1"/>
              </w:numPr>
              <w:ind w:firstLineChars="0"/>
              <w:jc w:val="left"/>
              <w:rPr>
                <w:rStyle w:val="9"/>
                <w:sz w:val="24"/>
                <w:szCs w:val="24"/>
              </w:rPr>
            </w:pPr>
            <w:r>
              <w:rPr>
                <w:rStyle w:val="9"/>
                <w:rFonts w:hint="eastAsia"/>
                <w:sz w:val="24"/>
                <w:szCs w:val="24"/>
              </w:rPr>
              <w:t>空间分辨力：Φ水平1.0mm Φ垂直1.0mm；</w:t>
            </w:r>
          </w:p>
          <w:p>
            <w:pPr>
              <w:pStyle w:val="10"/>
              <w:numPr>
                <w:ilvl w:val="0"/>
                <w:numId w:val="1"/>
              </w:numPr>
              <w:ind w:firstLineChars="0"/>
              <w:jc w:val="left"/>
              <w:rPr>
                <w:rStyle w:val="9"/>
                <w:sz w:val="24"/>
                <w:szCs w:val="24"/>
              </w:rPr>
            </w:pPr>
            <w:r>
              <w:rPr>
                <w:rStyle w:val="9"/>
                <w:rFonts w:hint="eastAsia"/>
                <w:sz w:val="24"/>
                <w:szCs w:val="24"/>
              </w:rPr>
              <w:t>通道尺寸：505mm(宽)×305mm(高)；</w:t>
            </w:r>
          </w:p>
          <w:p>
            <w:pPr>
              <w:pStyle w:val="10"/>
              <w:numPr>
                <w:ilvl w:val="0"/>
                <w:numId w:val="1"/>
              </w:numPr>
              <w:ind w:firstLineChars="0"/>
              <w:jc w:val="left"/>
              <w:rPr>
                <w:rStyle w:val="9"/>
                <w:rFonts w:hint="eastAsia"/>
                <w:sz w:val="24"/>
                <w:szCs w:val="24"/>
              </w:rPr>
            </w:pPr>
            <w:r>
              <w:rPr>
                <w:rStyle w:val="9"/>
                <w:rFonts w:hint="eastAsia"/>
                <w:sz w:val="24"/>
                <w:szCs w:val="24"/>
              </w:rPr>
              <w:t>传送速度：</w:t>
            </w:r>
            <w:r>
              <w:rPr>
                <w:rStyle w:val="9"/>
                <w:sz w:val="24"/>
                <w:szCs w:val="24"/>
              </w:rPr>
              <w:t>0.20m/s</w:t>
            </w:r>
            <w:r>
              <w:rPr>
                <w:rStyle w:val="9"/>
                <w:rFonts w:hint="eastAsia"/>
                <w:sz w:val="24"/>
                <w:szCs w:val="24"/>
              </w:rPr>
              <w:t>；</w:t>
            </w:r>
          </w:p>
          <w:p>
            <w:pPr>
              <w:pStyle w:val="10"/>
              <w:numPr>
                <w:ilvl w:val="0"/>
                <w:numId w:val="1"/>
              </w:numPr>
              <w:ind w:firstLineChars="0"/>
              <w:jc w:val="left"/>
              <w:rPr>
                <w:rStyle w:val="9"/>
                <w:rFonts w:asciiTheme="minorEastAsia" w:hAnsiTheme="minorEastAsia"/>
                <w:color w:val="auto"/>
                <w:sz w:val="24"/>
                <w:szCs w:val="24"/>
              </w:rPr>
            </w:pPr>
            <w:r>
              <w:rPr>
                <w:rStyle w:val="9"/>
                <w:rFonts w:hint="eastAsia"/>
                <w:color w:val="auto"/>
                <w:sz w:val="24"/>
                <w:szCs w:val="24"/>
              </w:rPr>
              <w:t>智能判图：支持对菜刀、剪刀、美工刀、枪支器械、压力罐、塑料容器等违禁品的检测；</w:t>
            </w:r>
          </w:p>
          <w:p>
            <w:pPr>
              <w:pStyle w:val="10"/>
              <w:numPr>
                <w:ilvl w:val="0"/>
                <w:numId w:val="1"/>
              </w:numPr>
              <w:ind w:firstLineChars="0"/>
              <w:jc w:val="left"/>
              <w:rPr>
                <w:rFonts w:asciiTheme="minorEastAsia" w:hAnsiTheme="minorEastAsia"/>
                <w:color w:val="auto"/>
                <w:sz w:val="24"/>
                <w:szCs w:val="24"/>
              </w:rPr>
            </w:pPr>
            <w:r>
              <w:rPr>
                <w:rFonts w:hint="eastAsia" w:asciiTheme="minorEastAsia" w:hAnsiTheme="minorEastAsia"/>
                <w:color w:val="auto"/>
                <w:sz w:val="24"/>
                <w:szCs w:val="24"/>
              </w:rPr>
              <w:t>告警联动功能：疑似危险品包裹智能识别后能触发声光报警、语音提示等告警提示。</w:t>
            </w:r>
          </w:p>
          <w:p>
            <w:pPr>
              <w:pStyle w:val="10"/>
              <w:numPr>
                <w:ilvl w:val="0"/>
                <w:numId w:val="1"/>
              </w:numPr>
              <w:ind w:firstLineChars="0"/>
              <w:jc w:val="left"/>
              <w:rPr>
                <w:rFonts w:asciiTheme="minorEastAsia" w:hAnsiTheme="minorEastAsia"/>
                <w:sz w:val="24"/>
                <w:szCs w:val="24"/>
              </w:rPr>
            </w:pPr>
            <w:r>
              <w:rPr>
                <w:rFonts w:hint="eastAsia" w:asciiTheme="minorEastAsia" w:hAnsiTheme="minorEastAsia"/>
                <w:color w:val="auto"/>
                <w:sz w:val="24"/>
                <w:szCs w:val="24"/>
              </w:rPr>
              <w:t>设备自诊：设备具备自诊断功能，并生成至少包括X射线产生装置、X射线探测器 、控</w:t>
            </w:r>
            <w:r>
              <w:rPr>
                <w:rFonts w:hint="eastAsia" w:asciiTheme="minorEastAsia" w:hAnsiTheme="minorEastAsia"/>
                <w:sz w:val="24"/>
                <w:szCs w:val="24"/>
              </w:rPr>
              <w:t>制器等主要功能部件运行状态的诊断报告。</w:t>
            </w:r>
          </w:p>
          <w:p>
            <w:pPr>
              <w:pStyle w:val="10"/>
              <w:numPr>
                <w:ilvl w:val="0"/>
                <w:numId w:val="1"/>
              </w:numPr>
              <w:ind w:firstLineChars="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为保证所投</w:t>
            </w:r>
            <w:r>
              <w:rPr>
                <w:rFonts w:hint="eastAsia" w:asciiTheme="minorEastAsia" w:hAnsiTheme="minorEastAsia"/>
                <w:sz w:val="24"/>
                <w:szCs w:val="24"/>
              </w:rPr>
              <w:t>X光机智能判图分析系统的稳定、可靠运行，投标人或</w:t>
            </w:r>
            <w:r>
              <w:rPr>
                <w:rFonts w:asciiTheme="minorEastAsia" w:hAnsiTheme="minorEastAsia"/>
                <w:sz w:val="24"/>
                <w:szCs w:val="24"/>
              </w:rPr>
              <w:t>投标人所投</w:t>
            </w:r>
            <w:r>
              <w:rPr>
                <w:rFonts w:hint="eastAsia" w:asciiTheme="minorEastAsia" w:hAnsiTheme="minorEastAsia"/>
                <w:sz w:val="24"/>
                <w:szCs w:val="24"/>
              </w:rPr>
              <w:t>产品</w:t>
            </w:r>
            <w:r>
              <w:rPr>
                <w:rFonts w:asciiTheme="minorEastAsia" w:hAnsiTheme="minorEastAsia"/>
                <w:sz w:val="24"/>
                <w:szCs w:val="24"/>
              </w:rPr>
              <w:t>设备</w:t>
            </w:r>
            <w:r>
              <w:rPr>
                <w:rFonts w:hint="eastAsia" w:asciiTheme="minorEastAsia" w:hAnsiTheme="minorEastAsia"/>
                <w:sz w:val="24"/>
                <w:szCs w:val="24"/>
              </w:rPr>
              <w:t>制造商应具备较强的软件开发、生产、服务和管理能力，</w:t>
            </w:r>
            <w:r>
              <w:rPr>
                <w:rFonts w:hint="eastAsia" w:asciiTheme="minorEastAsia" w:hAnsiTheme="minorEastAsia"/>
                <w:b w:val="0"/>
                <w:bCs w:val="0"/>
                <w:sz w:val="24"/>
                <w:szCs w:val="24"/>
              </w:rPr>
              <w:t>通过CMMI 5（</w:t>
            </w:r>
            <w:r>
              <w:rPr>
                <w:rFonts w:asciiTheme="minorEastAsia" w:hAnsiTheme="minorEastAsia"/>
                <w:b w:val="0"/>
                <w:bCs w:val="0"/>
                <w:sz w:val="24"/>
                <w:szCs w:val="24"/>
              </w:rPr>
              <w:t>软件能力成熟度模型集成5级</w:t>
            </w:r>
            <w:r>
              <w:rPr>
                <w:rFonts w:hint="eastAsia" w:asciiTheme="minorEastAsia" w:hAnsiTheme="minorEastAsia"/>
                <w:b w:val="0"/>
                <w:bCs w:val="0"/>
                <w:sz w:val="24"/>
                <w:szCs w:val="24"/>
              </w:rPr>
              <w:t>）等级认证</w:t>
            </w:r>
            <w:r>
              <w:rPr>
                <w:rFonts w:hint="eastAsia" w:asciiTheme="minorEastAsia" w:hAnsiTheme="minorEastAsia"/>
                <w:sz w:val="24"/>
                <w:szCs w:val="24"/>
              </w:rPr>
              <w:t>，提供相关证明文件并加盖</w:t>
            </w:r>
            <w:r>
              <w:rPr>
                <w:rFonts w:hint="eastAsia" w:asciiTheme="minorEastAsia" w:hAnsiTheme="minorEastAsia"/>
                <w:sz w:val="24"/>
                <w:szCs w:val="24"/>
                <w:lang w:eastAsia="zh-CN"/>
              </w:rPr>
              <w:t>原厂项目章</w:t>
            </w:r>
            <w:r>
              <w:rPr>
                <w:rFonts w:hint="eastAsia" w:asciiTheme="minorEastAsia" w:hAnsiTheme="minorEastAsia"/>
                <w:sz w:val="24"/>
                <w:szCs w:val="24"/>
              </w:rPr>
              <w:t>；</w:t>
            </w:r>
          </w:p>
          <w:p>
            <w:pPr>
              <w:pStyle w:val="10"/>
              <w:numPr>
                <w:ilvl w:val="0"/>
                <w:numId w:val="1"/>
              </w:numPr>
              <w:ind w:firstLineChars="0"/>
              <w:jc w:val="left"/>
              <w:rPr>
                <w:rFonts w:asciiTheme="minorEastAsia" w:hAnsiTheme="minorEastAsia"/>
                <w:sz w:val="24"/>
                <w:szCs w:val="24"/>
              </w:rPr>
            </w:pPr>
            <w:r>
              <w:rPr>
                <w:rFonts w:hint="eastAsia" w:asciiTheme="minorEastAsia" w:hAnsiTheme="minorEastAsia"/>
                <w:sz w:val="24"/>
                <w:szCs w:val="24"/>
              </w:rPr>
              <w:t>★投标人或投标人所投产品设备制造商应具备较强的智能业务能力和智能算法技术，并获得过“中国人工智能优秀产品应用奖”，提供相关证明文件并加盖</w:t>
            </w:r>
            <w:r>
              <w:rPr>
                <w:rFonts w:hint="eastAsia" w:asciiTheme="minorEastAsia" w:hAnsiTheme="minorEastAsia"/>
                <w:sz w:val="24"/>
                <w:szCs w:val="24"/>
                <w:lang w:eastAsia="zh-CN"/>
              </w:rPr>
              <w:t>原厂项目章</w:t>
            </w:r>
            <w:r>
              <w:rPr>
                <w:rFonts w:hint="eastAsia" w:asciiTheme="minorEastAsia" w:hAnsiTheme="minorEastAsia"/>
                <w:sz w:val="24"/>
                <w:szCs w:val="24"/>
              </w:rPr>
              <w:t>；</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eastAsia="zh-CN"/>
              </w:rPr>
              <w:t>提供本次投标产品彩页加盖原厂项目章。</w:t>
            </w:r>
          </w:p>
          <w:p>
            <w:pPr>
              <w:pStyle w:val="10"/>
              <w:numPr>
                <w:ilvl w:val="0"/>
                <w:numId w:val="0"/>
              </w:numPr>
              <w:jc w:val="center"/>
              <w:rPr>
                <w:rFonts w:asciiTheme="minorEastAsia" w:hAnsiTheme="minorEastAsia"/>
                <w:sz w:val="24"/>
                <w:szCs w:val="24"/>
                <w:vertAlign w:val="baseline"/>
              </w:rPr>
            </w:pPr>
          </w:p>
        </w:tc>
        <w:tc>
          <w:tcPr>
            <w:tcW w:w="1217" w:type="dxa"/>
            <w:vAlign w:val="center"/>
          </w:tcPr>
          <w:p>
            <w:pPr>
              <w:pStyle w:val="10"/>
              <w:numPr>
                <w:ilvl w:val="0"/>
                <w:numId w:val="0"/>
              </w:numPr>
              <w:jc w:val="center"/>
              <w:rPr>
                <w:rFonts w:hint="eastAsia" w:asciiTheme="minorEastAsia" w:hAnsiTheme="minorEastAsia" w:eastAsiaTheme="minorEastAsia"/>
                <w:sz w:val="24"/>
                <w:szCs w:val="24"/>
                <w:vertAlign w:val="baseline"/>
                <w:lang w:eastAsia="zh-CN"/>
              </w:rPr>
            </w:pPr>
            <w:r>
              <w:rPr>
                <w:rFonts w:hint="eastAsia" w:asciiTheme="minorEastAsia" w:hAnsiTheme="minorEastAsia"/>
                <w:sz w:val="24"/>
                <w:szCs w:val="24"/>
                <w:vertAlign w:val="baseline"/>
                <w:lang w:eastAsia="zh-CN"/>
              </w:rPr>
              <w:t>宇视、安天下、同方威视</w:t>
            </w:r>
          </w:p>
        </w:tc>
      </w:tr>
    </w:tbl>
    <w:p>
      <w:pPr>
        <w:pStyle w:val="10"/>
        <w:numPr>
          <w:ilvl w:val="0"/>
          <w:numId w:val="0"/>
        </w:numPr>
        <w:ind w:leftChars="0"/>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86320"/>
    <w:multiLevelType w:val="multilevel"/>
    <w:tmpl w:val="0DC863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zgxNjQ2NzM1ODU2ODZiY2ViNTU5YjJjYjI2MDQifQ=="/>
  </w:docVars>
  <w:rsids>
    <w:rsidRoot w:val="00CE064C"/>
    <w:rsid w:val="00122E80"/>
    <w:rsid w:val="00234DDE"/>
    <w:rsid w:val="004E2EC0"/>
    <w:rsid w:val="00957AAC"/>
    <w:rsid w:val="0097327F"/>
    <w:rsid w:val="009F5B43"/>
    <w:rsid w:val="00B176A6"/>
    <w:rsid w:val="00CE064C"/>
    <w:rsid w:val="00CE1078"/>
    <w:rsid w:val="00E066FD"/>
    <w:rsid w:val="0EFA1C9E"/>
    <w:rsid w:val="0F586F9E"/>
    <w:rsid w:val="2FC04040"/>
    <w:rsid w:val="5509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w:basedOn w:val="7"/>
    <w:link w:val="2"/>
    <w:qFormat/>
    <w:uiPriority w:val="9"/>
    <w:rPr>
      <w:rFonts w:asciiTheme="majorHAnsi" w:hAnsiTheme="majorHAnsi" w:eastAsiaTheme="majorEastAsia" w:cstheme="majorBidi"/>
      <w:b/>
      <w:bCs/>
      <w:sz w:val="32"/>
      <w:szCs w:val="32"/>
    </w:rPr>
  </w:style>
  <w:style w:type="character" w:customStyle="1" w:styleId="9">
    <w:name w:val="a"/>
    <w:basedOn w:val="7"/>
    <w:qFormat/>
    <w:uiPriority w:val="0"/>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91</Words>
  <Characters>525</Characters>
  <Lines>4</Lines>
  <Paragraphs>1</Paragraphs>
  <TotalTime>11</TotalTime>
  <ScaleCrop>false</ScaleCrop>
  <LinksUpToDate>false</LinksUpToDate>
  <CharactersWithSpaces>615</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2021-09-02T07:49:00Z</dcterms:created>
  <dc:creator>wangtianyu</dc:creator>
  <cp:lastModifiedBy>易曰勿</cp:lastModifiedBy>
  <dcterms:modified xsi:type="dcterms:W3CDTF">2023-10-11T02:16:22Z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E4AFB044A0354736B4332893DE5A52AB_13</vt:lpwstr>
  </property>
</Properties>
</file>